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w:t>
      </w:r>
      <w:proofErr w:type="gramStart"/>
      <w:r w:rsidR="007620D8" w:rsidRPr="00537E3B">
        <w:rPr>
          <w:rFonts w:ascii="Arial" w:eastAsia="Times New Roman" w:hAnsi="Arial" w:cs="Arial"/>
          <w:bCs/>
          <w:i/>
          <w:color w:val="FF0000"/>
          <w:sz w:val="14"/>
          <w:szCs w:val="28"/>
          <w:highlight w:val="yellow"/>
          <w:lang w:val="en-GB"/>
        </w:rPr>
        <w:t>management</w:t>
      </w:r>
      <w:proofErr w:type="gramEnd"/>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C8A7CA2"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7DC53F3"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A8D9049"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3E4EF6C"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30C1F733"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C3527D6"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E45FB15"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DBE3344"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4C17AFE"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D981A19"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F2DF0EC"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0805E48"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7ADD41D"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2AF1BDA"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2CC4054"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0CCB0F4"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7AD63B3"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1D68273"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 xml:space="preserve">Material components to be </w:t>
      </w:r>
      <w:proofErr w:type="gramStart"/>
      <w:r>
        <w:rPr>
          <w:rFonts w:ascii="Arial" w:eastAsia="Times New Roman" w:hAnsi="Arial" w:cs="Arial"/>
          <w:b/>
          <w:bCs/>
          <w:lang w:val="en-GB" w:eastAsia="en-ZA" w:bidi="hi-IN"/>
        </w:rPr>
        <w:t>purchased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shd w:val="clear" w:color="auto" w:fill="auto"/>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shd w:val="clear" w:color="auto" w:fill="auto"/>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shd w:val="clear" w:color="auto" w:fill="auto"/>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shd w:val="clear" w:color="auto" w:fill="auto"/>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shd w:val="clear" w:color="auto" w:fill="auto"/>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shd w:val="clear" w:color="auto" w:fill="auto"/>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shd w:val="clear" w:color="auto" w:fill="auto"/>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shd w:val="clear" w:color="auto" w:fill="auto"/>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shd w:val="clear" w:color="auto" w:fill="auto"/>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shd w:val="clear" w:color="auto" w:fill="auto"/>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shd w:val="clear" w:color="auto" w:fill="auto"/>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 xml:space="preserve">identification; handling; contamination control; packaging; storage; transmission or transportation, and </w:t>
      </w:r>
      <w:proofErr w:type="gramStart"/>
      <w:r w:rsidR="00AB2B10">
        <w:rPr>
          <w:rFonts w:ascii="Arial" w:hAnsi="Arial" w:cs="Arial"/>
          <w:i/>
          <w:color w:val="808080" w:themeColor="background1" w:themeShade="80"/>
          <w:sz w:val="14"/>
          <w:highlight w:val="yellow"/>
        </w:rPr>
        <w:t>protection</w:t>
      </w:r>
      <w:proofErr w:type="gramEnd"/>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 xml:space="preserve">identification and traceability methods to be used for SOW related activities affected by statutory and regulatory </w:t>
      </w:r>
      <w:proofErr w:type="gramStart"/>
      <w:r w:rsidR="004842C1">
        <w:rPr>
          <w:rFonts w:ascii="Arial" w:hAnsi="Arial" w:cs="Arial"/>
          <w:i/>
          <w:color w:val="808080" w:themeColor="background1" w:themeShade="80"/>
          <w:sz w:val="14"/>
          <w:highlight w:val="yellow"/>
        </w:rPr>
        <w:t>requirements</w:t>
      </w:r>
      <w:proofErr w:type="gramEnd"/>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2079" w14:textId="77777777" w:rsidR="00F92FA3" w:rsidRDefault="00F92FA3" w:rsidP="00201A98">
      <w:pPr>
        <w:spacing w:after="0" w:line="240" w:lineRule="auto"/>
      </w:pPr>
      <w:r>
        <w:separator/>
      </w:r>
    </w:p>
  </w:endnote>
  <w:endnote w:type="continuationSeparator" w:id="0">
    <w:p w14:paraId="5C4F316A" w14:textId="77777777" w:rsidR="00F92FA3" w:rsidRDefault="00F92FA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C6F9" w14:textId="77777777" w:rsidR="00F92FA3" w:rsidRDefault="00F92FA3" w:rsidP="00201A98">
      <w:pPr>
        <w:spacing w:after="0" w:line="240" w:lineRule="auto"/>
      </w:pPr>
      <w:r>
        <w:separator/>
      </w:r>
    </w:p>
  </w:footnote>
  <w:footnote w:type="continuationSeparator" w:id="0">
    <w:p w14:paraId="6429119B" w14:textId="77777777" w:rsidR="00F92FA3" w:rsidRDefault="00F92FA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2DCE" w14:textId="77777777" w:rsidR="00C73F1C" w:rsidRDefault="00000000">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5240978"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513E" w14:textId="77777777" w:rsidR="00C73F1C" w:rsidRDefault="00000000">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054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Ludwig Louw</cp:lastModifiedBy>
  <cp:revision>2</cp:revision>
  <dcterms:created xsi:type="dcterms:W3CDTF">2023-05-10T14:23:00Z</dcterms:created>
  <dcterms:modified xsi:type="dcterms:W3CDTF">2023-05-10T14:23:00Z</dcterms:modified>
</cp:coreProperties>
</file>